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4F95D" w14:textId="3053D082" w:rsidR="00B9660A" w:rsidRDefault="009437B6" w:rsidP="00B9660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Title: Maine Paid Family and Medical Leave Program Payroll Premium Deduction</w:t>
      </w:r>
    </w:p>
    <w:p w14:paraId="351F1976" w14:textId="77777777" w:rsidR="00B9660A" w:rsidRDefault="00B9660A" w:rsidP="00B9660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052091F2" w14:textId="3CB7D984" w:rsidR="00B9660A" w:rsidRDefault="00B9660A" w:rsidP="00B9660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Effective January 1, 2025 (Premium Contribution) / May 1, 2026 (Paid Leave Program)</w:t>
      </w:r>
    </w:p>
    <w:p w14:paraId="4D8BAEBB" w14:textId="77777777" w:rsidR="00B9660A" w:rsidRDefault="00B9660A" w:rsidP="00B9660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02BB1028" w14:textId="77777777" w:rsidR="00B9660A" w:rsidRDefault="00B9660A" w:rsidP="00B9660A">
      <w:pPr>
        <w:rPr>
          <w:sz w:val="24"/>
          <w:szCs w:val="24"/>
        </w:rPr>
      </w:pPr>
      <w:r>
        <w:rPr>
          <w:sz w:val="24"/>
          <w:szCs w:val="24"/>
        </w:rPr>
        <w:t xml:space="preserve">On </w:t>
      </w:r>
      <w:r>
        <w:rPr>
          <w:b/>
          <w:bCs/>
          <w:sz w:val="24"/>
          <w:szCs w:val="24"/>
        </w:rPr>
        <w:t>July 11, 2023</w:t>
      </w:r>
      <w:r>
        <w:rPr>
          <w:sz w:val="24"/>
          <w:szCs w:val="24"/>
        </w:rPr>
        <w:t xml:space="preserve">, Governor Mills signed a historic budget that includes the creation of a </w:t>
      </w:r>
      <w:r>
        <w:rPr>
          <w:b/>
          <w:bCs/>
          <w:sz w:val="24"/>
          <w:szCs w:val="24"/>
        </w:rPr>
        <w:t>Paid Family and Medical Leave program</w:t>
      </w:r>
      <w:r>
        <w:rPr>
          <w:sz w:val="24"/>
          <w:szCs w:val="24"/>
        </w:rPr>
        <w:t>, making Maine the 13th state, at that time, in the U.S. to establish such a program.</w:t>
      </w:r>
    </w:p>
    <w:p w14:paraId="5D67884D" w14:textId="77777777" w:rsidR="00B9660A" w:rsidRDefault="00B9660A" w:rsidP="00B9660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6F16EB3E" w14:textId="77777777" w:rsidR="00B9660A" w:rsidRDefault="00B9660A" w:rsidP="00B9660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What is the Paid Family and Medical Leave Program?</w:t>
      </w:r>
    </w:p>
    <w:p w14:paraId="6B930905" w14:textId="181EAF8A" w:rsidR="00FB5C65" w:rsidRDefault="00B9660A" w:rsidP="00FB5C65">
      <w:r>
        <w:rPr>
          <w:sz w:val="24"/>
          <w:szCs w:val="24"/>
        </w:rPr>
        <w:t xml:space="preserve">Beginning in </w:t>
      </w:r>
      <w:r>
        <w:rPr>
          <w:b/>
          <w:bCs/>
          <w:sz w:val="24"/>
          <w:szCs w:val="24"/>
        </w:rPr>
        <w:t>May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2026</w:t>
      </w:r>
      <w:r>
        <w:rPr>
          <w:sz w:val="24"/>
          <w:szCs w:val="24"/>
        </w:rPr>
        <w:t xml:space="preserve">, eligible employees will be able to take up to </w:t>
      </w:r>
      <w:r>
        <w:rPr>
          <w:b/>
          <w:bCs/>
          <w:sz w:val="24"/>
          <w:szCs w:val="24"/>
        </w:rPr>
        <w:t>12 weeks</w:t>
      </w:r>
      <w:r>
        <w:rPr>
          <w:sz w:val="24"/>
          <w:szCs w:val="24"/>
        </w:rPr>
        <w:t xml:space="preserve"> of paid time off for various family or medical reasons</w:t>
      </w:r>
      <w:r w:rsidR="00FB5C65">
        <w:rPr>
          <w:sz w:val="24"/>
          <w:szCs w:val="24"/>
        </w:rPr>
        <w:t xml:space="preserve">. </w:t>
      </w:r>
      <w:r w:rsidR="00FB5C65" w:rsidRPr="00FB5C65">
        <w:t>PFML reasons for leave mirror current state law. Reasons for leave include:</w:t>
      </w:r>
    </w:p>
    <w:p w14:paraId="76BEBD04" w14:textId="77777777" w:rsidR="00FB5C65" w:rsidRPr="00FB5C65" w:rsidRDefault="00FB5C65" w:rsidP="00FB5C65"/>
    <w:p w14:paraId="02CE0506" w14:textId="358E2F70" w:rsidR="00FB5C65" w:rsidRPr="00FB5C65" w:rsidRDefault="00FB5C65" w:rsidP="00FB5C65">
      <w:pPr>
        <w:numPr>
          <w:ilvl w:val="0"/>
          <w:numId w:val="9"/>
        </w:numPr>
        <w:rPr>
          <w:sz w:val="24"/>
          <w:szCs w:val="24"/>
        </w:rPr>
      </w:pPr>
      <w:r w:rsidRPr="00FB5C65">
        <w:rPr>
          <w:b/>
          <w:bCs/>
          <w:sz w:val="24"/>
          <w:szCs w:val="24"/>
        </w:rPr>
        <w:t xml:space="preserve">Family leave: </w:t>
      </w:r>
      <w:r w:rsidRPr="00FB5C65">
        <w:rPr>
          <w:sz w:val="24"/>
          <w:szCs w:val="24"/>
        </w:rPr>
        <w:t>To care for a new child (birth, adoption, fostering)</w:t>
      </w:r>
      <w:r w:rsidR="00B323D5">
        <w:rPr>
          <w:sz w:val="24"/>
          <w:szCs w:val="24"/>
        </w:rPr>
        <w:t>;</w:t>
      </w:r>
      <w:r w:rsidRPr="00FB5C65">
        <w:rPr>
          <w:sz w:val="24"/>
          <w:szCs w:val="24"/>
        </w:rPr>
        <w:t xml:space="preserve"> to care for family with</w:t>
      </w:r>
      <w:r w:rsidR="00B323D5">
        <w:rPr>
          <w:sz w:val="24"/>
          <w:szCs w:val="24"/>
        </w:rPr>
        <w:t xml:space="preserve"> </w:t>
      </w:r>
      <w:r w:rsidRPr="00FB5C65">
        <w:rPr>
          <w:sz w:val="24"/>
          <w:szCs w:val="24"/>
        </w:rPr>
        <w:t xml:space="preserve">serious health condition. </w:t>
      </w:r>
    </w:p>
    <w:p w14:paraId="34A36290" w14:textId="2F0FC49E" w:rsidR="00FB5C65" w:rsidRPr="00FB5C65" w:rsidRDefault="00FB5C65" w:rsidP="00FB5C65">
      <w:pPr>
        <w:numPr>
          <w:ilvl w:val="0"/>
          <w:numId w:val="9"/>
        </w:numPr>
        <w:rPr>
          <w:sz w:val="24"/>
          <w:szCs w:val="24"/>
        </w:rPr>
      </w:pPr>
      <w:r w:rsidRPr="00FB5C65">
        <w:rPr>
          <w:b/>
          <w:bCs/>
          <w:sz w:val="24"/>
          <w:szCs w:val="24"/>
        </w:rPr>
        <w:t xml:space="preserve">Medical leave: </w:t>
      </w:r>
      <w:r w:rsidRPr="00FB5C65">
        <w:rPr>
          <w:sz w:val="24"/>
          <w:szCs w:val="24"/>
        </w:rPr>
        <w:t xml:space="preserve">To care for one’s own </w:t>
      </w:r>
      <w:r w:rsidR="00B323D5">
        <w:rPr>
          <w:sz w:val="24"/>
          <w:szCs w:val="24"/>
        </w:rPr>
        <w:t>serious medical needs</w:t>
      </w:r>
      <w:r w:rsidRPr="00FB5C65">
        <w:rPr>
          <w:sz w:val="24"/>
          <w:szCs w:val="24"/>
        </w:rPr>
        <w:t xml:space="preserve">. </w:t>
      </w:r>
    </w:p>
    <w:p w14:paraId="7B090EAB" w14:textId="20D22CCC" w:rsidR="00FB5C65" w:rsidRPr="00FB5C65" w:rsidRDefault="00FB5C65" w:rsidP="00FB5C65">
      <w:pPr>
        <w:numPr>
          <w:ilvl w:val="0"/>
          <w:numId w:val="9"/>
        </w:numPr>
        <w:rPr>
          <w:sz w:val="24"/>
          <w:szCs w:val="24"/>
        </w:rPr>
      </w:pPr>
      <w:r w:rsidRPr="00FB5C65">
        <w:rPr>
          <w:b/>
          <w:bCs/>
          <w:sz w:val="24"/>
          <w:szCs w:val="24"/>
        </w:rPr>
        <w:t xml:space="preserve">Safe leave: </w:t>
      </w:r>
      <w:r w:rsidR="00B323D5">
        <w:rPr>
          <w:sz w:val="24"/>
          <w:szCs w:val="24"/>
        </w:rPr>
        <w:t xml:space="preserve">To stay safe </w:t>
      </w:r>
      <w:r w:rsidRPr="00FB5C65">
        <w:rPr>
          <w:sz w:val="24"/>
          <w:szCs w:val="24"/>
        </w:rPr>
        <w:t>or</w:t>
      </w:r>
      <w:r w:rsidR="00B323D5">
        <w:rPr>
          <w:sz w:val="24"/>
          <w:szCs w:val="24"/>
        </w:rPr>
        <w:t xml:space="preserve"> to help a family member stay safe after</w:t>
      </w:r>
      <w:r w:rsidRPr="00FB5C65">
        <w:rPr>
          <w:sz w:val="24"/>
          <w:szCs w:val="24"/>
        </w:rPr>
        <w:t xml:space="preserve"> abuse</w:t>
      </w:r>
      <w:r w:rsidR="00B323D5">
        <w:rPr>
          <w:sz w:val="24"/>
          <w:szCs w:val="24"/>
        </w:rPr>
        <w:t xml:space="preserve"> or violence</w:t>
      </w:r>
      <w:r w:rsidRPr="00FB5C65">
        <w:rPr>
          <w:sz w:val="24"/>
          <w:szCs w:val="24"/>
        </w:rPr>
        <w:t>.</w:t>
      </w:r>
    </w:p>
    <w:p w14:paraId="2584BD98" w14:textId="468E5E25" w:rsidR="00FB5C65" w:rsidRPr="00FB5C65" w:rsidRDefault="00FB5C65" w:rsidP="00FB5C65">
      <w:pPr>
        <w:numPr>
          <w:ilvl w:val="0"/>
          <w:numId w:val="9"/>
        </w:numPr>
        <w:rPr>
          <w:sz w:val="24"/>
          <w:szCs w:val="24"/>
        </w:rPr>
      </w:pPr>
      <w:r w:rsidRPr="00FB5C65">
        <w:rPr>
          <w:b/>
          <w:bCs/>
          <w:sz w:val="24"/>
          <w:szCs w:val="24"/>
        </w:rPr>
        <w:t xml:space="preserve">Military deployment: </w:t>
      </w:r>
      <w:r w:rsidRPr="00FB5C65">
        <w:rPr>
          <w:sz w:val="24"/>
          <w:szCs w:val="24"/>
        </w:rPr>
        <w:t xml:space="preserve">For emergencies related to </w:t>
      </w:r>
      <w:r w:rsidR="00B323D5">
        <w:rPr>
          <w:sz w:val="24"/>
          <w:szCs w:val="24"/>
        </w:rPr>
        <w:t>a family member’s impending military deployment.</w:t>
      </w:r>
    </w:p>
    <w:p w14:paraId="60A4883D" w14:textId="77777777" w:rsidR="00B9660A" w:rsidRDefault="00B9660A" w:rsidP="00B9660A">
      <w:pPr>
        <w:ind w:left="540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230B8399" w14:textId="77777777" w:rsidR="00B9660A" w:rsidRDefault="00B9660A" w:rsidP="00B9660A">
      <w:pPr>
        <w:rPr>
          <w:sz w:val="24"/>
          <w:szCs w:val="24"/>
        </w:rPr>
      </w:pPr>
      <w:r>
        <w:rPr>
          <w:sz w:val="24"/>
          <w:szCs w:val="24"/>
        </w:rPr>
        <w:t>This program will provide financial support to eligible employees, ensuring employees can take time off when they need it most without losing income.</w:t>
      </w:r>
    </w:p>
    <w:p w14:paraId="0BC44C97" w14:textId="77777777" w:rsidR="00B9660A" w:rsidRDefault="00B9660A" w:rsidP="00B9660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04BB05B1" w14:textId="031843B3" w:rsidR="00B9660A" w:rsidRDefault="00B9660A" w:rsidP="00B9660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Payroll Premium </w:t>
      </w:r>
      <w:r w:rsidR="009437B6">
        <w:rPr>
          <w:b/>
          <w:bCs/>
          <w:sz w:val="28"/>
          <w:szCs w:val="28"/>
        </w:rPr>
        <w:t>Deductions</w:t>
      </w:r>
      <w:r>
        <w:rPr>
          <w:b/>
          <w:bCs/>
          <w:sz w:val="28"/>
          <w:szCs w:val="28"/>
        </w:rPr>
        <w:t>:</w:t>
      </w:r>
    </w:p>
    <w:p w14:paraId="15D5F9B2" w14:textId="53AF9036" w:rsidR="00B9660A" w:rsidRDefault="00B9660A" w:rsidP="00B9660A">
      <w:pPr>
        <w:rPr>
          <w:sz w:val="24"/>
          <w:szCs w:val="24"/>
        </w:rPr>
      </w:pPr>
      <w:r>
        <w:rPr>
          <w:sz w:val="24"/>
          <w:szCs w:val="24"/>
        </w:rPr>
        <w:t>In order to fund the Paid Family and Medical Leave program, the State require</w:t>
      </w:r>
      <w:r w:rsidR="0009229A">
        <w:rPr>
          <w:sz w:val="24"/>
          <w:szCs w:val="24"/>
        </w:rPr>
        <w:t>s</w:t>
      </w:r>
      <w:r>
        <w:rPr>
          <w:sz w:val="24"/>
          <w:szCs w:val="24"/>
        </w:rPr>
        <w:t xml:space="preserve"> employers to apply a premium deduction starting for wages paid on or after </w:t>
      </w:r>
      <w:r>
        <w:rPr>
          <w:b/>
          <w:bCs/>
          <w:sz w:val="24"/>
          <w:szCs w:val="24"/>
        </w:rPr>
        <w:t>January 1, 2025</w:t>
      </w:r>
      <w:r>
        <w:rPr>
          <w:sz w:val="24"/>
          <w:szCs w:val="24"/>
        </w:rPr>
        <w:t xml:space="preserve">. This premium will apply to both employees and employers (UNE). </w:t>
      </w:r>
      <w:r w:rsidR="0009229A">
        <w:rPr>
          <w:sz w:val="24"/>
          <w:szCs w:val="24"/>
        </w:rPr>
        <w:t>Wages subject to the premium pertain to all benefit</w:t>
      </w:r>
      <w:r w:rsidR="00FB5C65">
        <w:rPr>
          <w:sz w:val="24"/>
          <w:szCs w:val="24"/>
        </w:rPr>
        <w:t>-</w:t>
      </w:r>
      <w:r w:rsidR="0009229A">
        <w:rPr>
          <w:sz w:val="24"/>
          <w:szCs w:val="24"/>
        </w:rPr>
        <w:t>eligible and temporary positions at UNE</w:t>
      </w:r>
      <w:r w:rsidR="00FB5C65">
        <w:rPr>
          <w:sz w:val="24"/>
          <w:szCs w:val="24"/>
        </w:rPr>
        <w:t>,</w:t>
      </w:r>
      <w:r w:rsidR="0009229A">
        <w:rPr>
          <w:sz w:val="24"/>
          <w:szCs w:val="24"/>
        </w:rPr>
        <w:t xml:space="preserve"> including student employment work charged to departments</w:t>
      </w:r>
      <w:r w:rsidR="00C3580A">
        <w:rPr>
          <w:sz w:val="24"/>
          <w:szCs w:val="24"/>
        </w:rPr>
        <w:t>’</w:t>
      </w:r>
      <w:r w:rsidR="0009229A">
        <w:rPr>
          <w:sz w:val="24"/>
          <w:szCs w:val="24"/>
        </w:rPr>
        <w:t xml:space="preserve"> budget lines.  However, student employment work associated with Federal Work Study employment is not subject to the </w:t>
      </w:r>
      <w:r w:rsidR="003C744A">
        <w:rPr>
          <w:sz w:val="24"/>
          <w:szCs w:val="24"/>
        </w:rPr>
        <w:t xml:space="preserve">premium deduction.  </w:t>
      </w:r>
      <w:r>
        <w:rPr>
          <w:sz w:val="24"/>
          <w:szCs w:val="24"/>
        </w:rPr>
        <w:t xml:space="preserve">The contributions will fund the benefits under the program that begin in </w:t>
      </w:r>
      <w:r>
        <w:rPr>
          <w:b/>
          <w:bCs/>
          <w:sz w:val="24"/>
          <w:szCs w:val="24"/>
        </w:rPr>
        <w:t>May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2026</w:t>
      </w:r>
      <w:r>
        <w:rPr>
          <w:sz w:val="24"/>
          <w:szCs w:val="24"/>
        </w:rPr>
        <w:t>.</w:t>
      </w:r>
    </w:p>
    <w:p w14:paraId="4CD8E373" w14:textId="77777777" w:rsidR="00B9660A" w:rsidRDefault="00B9660A" w:rsidP="00B9660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379A9F0D" w14:textId="20DAE880" w:rsidR="00B9660A" w:rsidRDefault="00B9660A" w:rsidP="00B9660A">
      <w:pPr>
        <w:numPr>
          <w:ilvl w:val="0"/>
          <w:numId w:val="3"/>
        </w:numPr>
        <w:textAlignment w:val="center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Employee Contribution</w:t>
      </w:r>
      <w:r>
        <w:rPr>
          <w:rFonts w:eastAsia="Times New Roman"/>
          <w:sz w:val="24"/>
          <w:szCs w:val="24"/>
        </w:rPr>
        <w:t xml:space="preserve">: Employees will contribute </w:t>
      </w:r>
      <w:r>
        <w:rPr>
          <w:rFonts w:eastAsia="Times New Roman"/>
          <w:b/>
          <w:bCs/>
          <w:sz w:val="24"/>
          <w:szCs w:val="24"/>
        </w:rPr>
        <w:t>0.5% of their wages</w:t>
      </w:r>
      <w:r>
        <w:rPr>
          <w:rFonts w:eastAsia="Times New Roman"/>
          <w:sz w:val="24"/>
          <w:szCs w:val="24"/>
        </w:rPr>
        <w:t xml:space="preserve"> to the program through payroll deductions. This deduction will begin with your first paycheck.</w:t>
      </w:r>
    </w:p>
    <w:p w14:paraId="41D47B42" w14:textId="77777777" w:rsidR="00B9660A" w:rsidRDefault="00B9660A" w:rsidP="00B9660A">
      <w:pPr>
        <w:numPr>
          <w:ilvl w:val="0"/>
          <w:numId w:val="3"/>
        </w:numPr>
        <w:textAlignment w:val="center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Employer Contribution</w:t>
      </w:r>
      <w:r>
        <w:rPr>
          <w:rFonts w:eastAsia="Times New Roman"/>
          <w:sz w:val="24"/>
          <w:szCs w:val="24"/>
        </w:rPr>
        <w:t xml:space="preserve">: UNE will also contribute 0.5% to fund the program. </w:t>
      </w:r>
    </w:p>
    <w:p w14:paraId="0F895C09" w14:textId="77777777" w:rsidR="00B9660A" w:rsidRDefault="00B9660A" w:rsidP="00B9660A">
      <w:pPr>
        <w:ind w:left="540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239C7C92" w14:textId="15760153" w:rsidR="00B9660A" w:rsidRPr="00FF58F1" w:rsidRDefault="00C3580A" w:rsidP="00B9660A">
      <w:pPr>
        <w:rPr>
          <w:i/>
          <w:iCs/>
        </w:rPr>
      </w:pPr>
      <w:r w:rsidRPr="00FF58F1">
        <w:rPr>
          <w:sz w:val="24"/>
          <w:szCs w:val="24"/>
        </w:rPr>
        <w:t>The premium deduction will be noted on your</w:t>
      </w:r>
      <w:r>
        <w:rPr>
          <w:sz w:val="24"/>
          <w:szCs w:val="24"/>
        </w:rPr>
        <w:t xml:space="preserve"> UNE</w:t>
      </w:r>
      <w:r w:rsidRPr="00FF58F1">
        <w:rPr>
          <w:sz w:val="24"/>
          <w:szCs w:val="24"/>
        </w:rPr>
        <w:t xml:space="preserve"> pay statement </w:t>
      </w:r>
      <w:r>
        <w:rPr>
          <w:sz w:val="24"/>
          <w:szCs w:val="24"/>
        </w:rPr>
        <w:t>with the title</w:t>
      </w:r>
      <w:r w:rsidRPr="00FF58F1">
        <w:rPr>
          <w:sz w:val="24"/>
          <w:szCs w:val="24"/>
        </w:rPr>
        <w:t xml:space="preserve"> “Maine Paid Family &amp; Medical Leave.</w:t>
      </w:r>
      <w:r>
        <w:rPr>
          <w:sz w:val="24"/>
          <w:szCs w:val="24"/>
        </w:rPr>
        <w:t>”</w:t>
      </w:r>
      <w:r>
        <w:rPr>
          <w:i/>
          <w:iCs/>
        </w:rPr>
        <w:t xml:space="preserve"> </w:t>
      </w:r>
      <w:r w:rsidR="00B9660A">
        <w:rPr>
          <w:sz w:val="24"/>
          <w:szCs w:val="24"/>
        </w:rPr>
        <w:t xml:space="preserve">The funds collected by the State will go into a trust fund used to pay for the paid family and medical leave benefits starting in </w:t>
      </w:r>
      <w:r w:rsidR="00B9660A">
        <w:rPr>
          <w:b/>
          <w:bCs/>
          <w:sz w:val="24"/>
          <w:szCs w:val="24"/>
        </w:rPr>
        <w:t>May</w:t>
      </w:r>
      <w:r w:rsidR="00B9660A">
        <w:rPr>
          <w:sz w:val="24"/>
          <w:szCs w:val="24"/>
        </w:rPr>
        <w:t xml:space="preserve"> </w:t>
      </w:r>
      <w:r w:rsidR="00B9660A">
        <w:rPr>
          <w:b/>
          <w:bCs/>
          <w:sz w:val="24"/>
          <w:szCs w:val="24"/>
        </w:rPr>
        <w:t>2026</w:t>
      </w:r>
      <w:r w:rsidR="00B9660A">
        <w:rPr>
          <w:sz w:val="24"/>
          <w:szCs w:val="24"/>
        </w:rPr>
        <w:t>.</w:t>
      </w:r>
    </w:p>
    <w:p w14:paraId="4563A277" w14:textId="77777777" w:rsidR="00B9660A" w:rsidRDefault="00B9660A" w:rsidP="00B9660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1A5C7644" w14:textId="77777777" w:rsidR="00B9660A" w:rsidRDefault="00B9660A" w:rsidP="00B9660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Paid Leave Benefits Available in May 2026:</w:t>
      </w:r>
    </w:p>
    <w:p w14:paraId="6831C9AB" w14:textId="77777777" w:rsidR="00B9660A" w:rsidRDefault="00B9660A" w:rsidP="00B9660A">
      <w:pPr>
        <w:numPr>
          <w:ilvl w:val="0"/>
          <w:numId w:val="4"/>
        </w:numPr>
        <w:textAlignment w:val="center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12 weeks of paid leave</w:t>
      </w:r>
      <w:r>
        <w:rPr>
          <w:rFonts w:eastAsia="Times New Roman"/>
          <w:sz w:val="24"/>
          <w:szCs w:val="24"/>
        </w:rPr>
        <w:t xml:space="preserve"> per year for eligible employees.</w:t>
      </w:r>
    </w:p>
    <w:p w14:paraId="5912A373" w14:textId="77777777" w:rsidR="00B9660A" w:rsidRDefault="00B9660A" w:rsidP="00B9660A">
      <w:pPr>
        <w:numPr>
          <w:ilvl w:val="0"/>
          <w:numId w:val="4"/>
        </w:numPr>
        <w:textAlignment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The amount you may receive will be based on your average weekly earnings, up to a state-established maximum benefit.</w:t>
      </w:r>
    </w:p>
    <w:p w14:paraId="3B15560F" w14:textId="77777777" w:rsidR="00B9660A" w:rsidRDefault="00B9660A" w:rsidP="00B9660A">
      <w:pPr>
        <w:ind w:left="540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7EF21EED" w14:textId="507BA357" w:rsidR="001E0035" w:rsidRDefault="00B9660A" w:rsidP="00B9660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Eligibility for Paid Lea</w:t>
      </w:r>
      <w:r w:rsidR="001E0035">
        <w:rPr>
          <w:b/>
          <w:bCs/>
          <w:sz w:val="28"/>
          <w:szCs w:val="28"/>
        </w:rPr>
        <w:t>ve:</w:t>
      </w:r>
    </w:p>
    <w:p w14:paraId="79A87926" w14:textId="55A390AD" w:rsidR="00B9660A" w:rsidRDefault="00B9660A" w:rsidP="00B9660A">
      <w:pPr>
        <w:rPr>
          <w:sz w:val="24"/>
          <w:szCs w:val="24"/>
        </w:rPr>
      </w:pPr>
      <w:r>
        <w:rPr>
          <w:sz w:val="24"/>
          <w:szCs w:val="24"/>
        </w:rPr>
        <w:t>To qualify for paid leave under this program, employees must meet the following eligibility criteria:</w:t>
      </w:r>
    </w:p>
    <w:p w14:paraId="4F3CA43C" w14:textId="77777777" w:rsidR="00B9660A" w:rsidRDefault="00B9660A" w:rsidP="00B9660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1985F37A" w14:textId="667E9BCB" w:rsidR="00B323D5" w:rsidRPr="00FF58F1" w:rsidRDefault="00B323D5" w:rsidP="00B323D5">
      <w:pPr>
        <w:numPr>
          <w:ilvl w:val="0"/>
          <w:numId w:val="5"/>
        </w:numPr>
        <w:textAlignment w:val="center"/>
        <w:rPr>
          <w:rFonts w:eastAsia="Times New Roman"/>
          <w:sz w:val="24"/>
          <w:szCs w:val="24"/>
        </w:rPr>
      </w:pPr>
      <w:r w:rsidRPr="00FF58F1">
        <w:rPr>
          <w:rFonts w:eastAsia="Times New Roman"/>
          <w:sz w:val="24"/>
          <w:szCs w:val="24"/>
        </w:rPr>
        <w:t xml:space="preserve">Must have </w:t>
      </w:r>
      <w:r w:rsidRPr="00C3580A">
        <w:rPr>
          <w:rFonts w:eastAsia="Times New Roman"/>
          <w:b/>
          <w:bCs/>
          <w:sz w:val="24"/>
          <w:szCs w:val="24"/>
        </w:rPr>
        <w:t>earned at least six times the state average weekly wage (SAWW) in</w:t>
      </w:r>
      <w:r w:rsidRPr="00FF58F1">
        <w:rPr>
          <w:rFonts w:eastAsia="Times New Roman"/>
          <w:sz w:val="24"/>
          <w:szCs w:val="24"/>
        </w:rPr>
        <w:t xml:space="preserve"> </w:t>
      </w:r>
      <w:r w:rsidRPr="00C3580A">
        <w:rPr>
          <w:rFonts w:eastAsia="Times New Roman"/>
          <w:b/>
          <w:bCs/>
          <w:sz w:val="24"/>
          <w:szCs w:val="24"/>
        </w:rPr>
        <w:t>four of the last five completed quarters</w:t>
      </w:r>
      <w:r w:rsidRPr="00FF58F1">
        <w:rPr>
          <w:rFonts w:eastAsia="Times New Roman"/>
          <w:sz w:val="24"/>
          <w:szCs w:val="24"/>
        </w:rPr>
        <w:t xml:space="preserve"> before accessing the benefit.</w:t>
      </w:r>
    </w:p>
    <w:p w14:paraId="222BB628" w14:textId="021C65F3" w:rsidR="00B323D5" w:rsidRPr="00FF58F1" w:rsidRDefault="00B323D5" w:rsidP="00B323D5">
      <w:pPr>
        <w:numPr>
          <w:ilvl w:val="0"/>
          <w:numId w:val="5"/>
        </w:numPr>
        <w:textAlignment w:val="center"/>
        <w:rPr>
          <w:rFonts w:eastAsia="Times New Roman"/>
          <w:i/>
          <w:iCs/>
          <w:sz w:val="24"/>
          <w:szCs w:val="24"/>
        </w:rPr>
      </w:pPr>
      <w:r w:rsidRPr="00FF58F1">
        <w:rPr>
          <w:rFonts w:eastAsia="Times New Roman"/>
          <w:i/>
          <w:iCs/>
          <w:sz w:val="24"/>
          <w:szCs w:val="24"/>
        </w:rPr>
        <w:t>Employees who have not worked for an employer for at least 120 days are not guaranteed job protections when taking leave.</w:t>
      </w:r>
    </w:p>
    <w:p w14:paraId="66014AEB" w14:textId="77777777" w:rsidR="00B9660A" w:rsidRDefault="00B9660A" w:rsidP="00B9660A">
      <w:pPr>
        <w:ind w:left="540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5AA3F515" w14:textId="77777777" w:rsidR="00B9660A" w:rsidRDefault="00B9660A" w:rsidP="00B9660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How to Apply for Paid Leave:</w:t>
      </w:r>
    </w:p>
    <w:p w14:paraId="5EFE0D0E" w14:textId="77777777" w:rsidR="00B9660A" w:rsidRDefault="00B9660A" w:rsidP="00B9660A">
      <w:pPr>
        <w:numPr>
          <w:ilvl w:val="0"/>
          <w:numId w:val="6"/>
        </w:numPr>
        <w:textAlignment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To apply for paid leave, eligible employees must notify UNE’s Human Resources Office at least </w:t>
      </w:r>
      <w:r>
        <w:rPr>
          <w:rFonts w:eastAsia="Times New Roman"/>
          <w:b/>
          <w:bCs/>
          <w:sz w:val="24"/>
          <w:szCs w:val="24"/>
        </w:rPr>
        <w:t>30 days</w:t>
      </w:r>
      <w:r>
        <w:rPr>
          <w:rFonts w:eastAsia="Times New Roman"/>
          <w:sz w:val="24"/>
          <w:szCs w:val="24"/>
        </w:rPr>
        <w:t xml:space="preserve"> in advance (or as soon as possible if leave is needed unexpectedly).</w:t>
      </w:r>
    </w:p>
    <w:p w14:paraId="5347B78A" w14:textId="77777777" w:rsidR="00B9660A" w:rsidRDefault="00B9660A" w:rsidP="00B9660A">
      <w:pPr>
        <w:numPr>
          <w:ilvl w:val="0"/>
          <w:numId w:val="6"/>
        </w:numPr>
        <w:textAlignment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You will then need to submit a claim to the Maine Paid Family and Medical Leave program to determine eligibility and benefit amounts.</w:t>
      </w:r>
    </w:p>
    <w:p w14:paraId="015900BA" w14:textId="77777777" w:rsidR="00B9660A" w:rsidRDefault="00B9660A" w:rsidP="00B9660A">
      <w:pPr>
        <w:ind w:left="540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4E7DA002" w14:textId="77777777" w:rsidR="00B9660A" w:rsidRDefault="00B9660A" w:rsidP="00B9660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Additional Information:</w:t>
      </w:r>
    </w:p>
    <w:p w14:paraId="44704EA9" w14:textId="77777777" w:rsidR="00B9660A" w:rsidRDefault="00B9660A" w:rsidP="00B9660A">
      <w:pPr>
        <w:rPr>
          <w:sz w:val="24"/>
          <w:szCs w:val="24"/>
        </w:rPr>
      </w:pPr>
      <w:r>
        <w:rPr>
          <w:sz w:val="24"/>
          <w:szCs w:val="24"/>
        </w:rPr>
        <w:t xml:space="preserve">For more details about the Paid Family and Medical Leave program, including information on how to apply for benefits, specific contribution rates, and the program rollout, please visit the </w:t>
      </w:r>
      <w:r>
        <w:rPr>
          <w:b/>
          <w:bCs/>
          <w:sz w:val="24"/>
          <w:szCs w:val="24"/>
        </w:rPr>
        <w:t>Maine Department of Labor</w:t>
      </w:r>
      <w:r>
        <w:rPr>
          <w:sz w:val="24"/>
          <w:szCs w:val="24"/>
        </w:rPr>
        <w:t xml:space="preserve"> website or contact Human Resources at </w:t>
      </w:r>
      <w:hyperlink r:id="rId5" w:history="1">
        <w:r>
          <w:rPr>
            <w:rStyle w:val="Hyperlink"/>
            <w:sz w:val="24"/>
            <w:szCs w:val="24"/>
          </w:rPr>
          <w:t>hr@une.edu</w:t>
        </w:r>
      </w:hyperlink>
      <w:r>
        <w:rPr>
          <w:sz w:val="24"/>
          <w:szCs w:val="24"/>
        </w:rPr>
        <w:t>.</w:t>
      </w:r>
    </w:p>
    <w:p w14:paraId="238677D9" w14:textId="77777777" w:rsidR="00B9660A" w:rsidRDefault="00B9660A" w:rsidP="00B9660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78B07A20" w14:textId="77777777" w:rsidR="00B9660A" w:rsidRDefault="00B9660A" w:rsidP="00B9660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Your Rights Are Protected:</w:t>
      </w:r>
    </w:p>
    <w:p w14:paraId="254A039B" w14:textId="77777777" w:rsidR="00B9660A" w:rsidRDefault="00B9660A" w:rsidP="00B9660A">
      <w:pPr>
        <w:numPr>
          <w:ilvl w:val="0"/>
          <w:numId w:val="7"/>
        </w:numPr>
        <w:textAlignment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Employees taking leave under this program are entitled to return to the same or an equivalent job.</w:t>
      </w:r>
    </w:p>
    <w:p w14:paraId="23790D07" w14:textId="77777777" w:rsidR="00B9660A" w:rsidRDefault="00B9660A" w:rsidP="00B9660A">
      <w:pPr>
        <w:numPr>
          <w:ilvl w:val="0"/>
          <w:numId w:val="7"/>
        </w:numPr>
        <w:textAlignment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Health insurance benefits will be protected during your leave.</w:t>
      </w:r>
    </w:p>
    <w:p w14:paraId="75F59676" w14:textId="0E00EED3" w:rsidR="00B9660A" w:rsidRDefault="00B9660A" w:rsidP="00B9660A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i/>
          <w:iCs/>
          <w:sz w:val="24"/>
          <w:szCs w:val="24"/>
        </w:rPr>
        <w:t xml:space="preserve">This notice is provided to inform you of the new Paid Family and Medical Leave program, including the new payroll </w:t>
      </w:r>
      <w:r w:rsidR="0009229A">
        <w:rPr>
          <w:i/>
          <w:iCs/>
          <w:sz w:val="24"/>
          <w:szCs w:val="24"/>
        </w:rPr>
        <w:t xml:space="preserve">premium deduction </w:t>
      </w:r>
      <w:r>
        <w:rPr>
          <w:i/>
          <w:iCs/>
          <w:sz w:val="24"/>
          <w:szCs w:val="24"/>
        </w:rPr>
        <w:t>that will beg</w:t>
      </w:r>
      <w:r w:rsidR="00234D47">
        <w:rPr>
          <w:i/>
          <w:iCs/>
          <w:sz w:val="24"/>
          <w:szCs w:val="24"/>
        </w:rPr>
        <w:t>a</w:t>
      </w:r>
      <w:r>
        <w:rPr>
          <w:i/>
          <w:iCs/>
          <w:sz w:val="24"/>
          <w:szCs w:val="24"/>
        </w:rPr>
        <w:t>n on January 1, 2025, and the paid leave benefits that will become available in May 2026. Stay informed about these upcoming changes and your rights under this program.</w:t>
      </w:r>
    </w:p>
    <w:p w14:paraId="699A33A9" w14:textId="77777777" w:rsidR="007A54FB" w:rsidRDefault="007A54FB"/>
    <w:sectPr w:rsidR="007A54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F07D7"/>
    <w:multiLevelType w:val="multilevel"/>
    <w:tmpl w:val="F7647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F4247B"/>
    <w:multiLevelType w:val="multilevel"/>
    <w:tmpl w:val="956AB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7D0646"/>
    <w:multiLevelType w:val="multilevel"/>
    <w:tmpl w:val="B1B87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177B61"/>
    <w:multiLevelType w:val="hybridMultilevel"/>
    <w:tmpl w:val="06345788"/>
    <w:lvl w:ilvl="0" w:tplc="63E4BC9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9A0FD5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2EEDD1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7C66DB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8A4E7E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B70CD8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D08BE0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2C4AC5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300FBC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4FB21E22"/>
    <w:multiLevelType w:val="multilevel"/>
    <w:tmpl w:val="61B25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24A15E9"/>
    <w:multiLevelType w:val="hybridMultilevel"/>
    <w:tmpl w:val="965A8EFA"/>
    <w:lvl w:ilvl="0" w:tplc="769E30D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3B0CAB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B6E0B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4168E8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8926AC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62040A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8DED4B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0BA215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C88658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58BB4BF4"/>
    <w:multiLevelType w:val="hybridMultilevel"/>
    <w:tmpl w:val="397482EC"/>
    <w:lvl w:ilvl="0" w:tplc="37CCFFD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3A2B11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886CF1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9604A8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DED51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2BA8EB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9E86D5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1C830F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98618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6A557A4A"/>
    <w:multiLevelType w:val="multilevel"/>
    <w:tmpl w:val="869EC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60907E7"/>
    <w:multiLevelType w:val="multilevel"/>
    <w:tmpl w:val="A410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E211B94"/>
    <w:multiLevelType w:val="hybridMultilevel"/>
    <w:tmpl w:val="87B4A5CE"/>
    <w:lvl w:ilvl="0" w:tplc="56C2DEA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610D82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1B49C9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E2220F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2C784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BD2192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AC8066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9C0021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4E9A9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7EDB5B17"/>
    <w:multiLevelType w:val="multilevel"/>
    <w:tmpl w:val="8AC2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0"/>
  </w:num>
  <w:num w:numId="5">
    <w:abstractNumId w:val="1"/>
  </w:num>
  <w:num w:numId="6">
    <w:abstractNumId w:val="4"/>
  </w:num>
  <w:num w:numId="7">
    <w:abstractNumId w:val="8"/>
  </w:num>
  <w:num w:numId="8">
    <w:abstractNumId w:val="9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60A"/>
    <w:rsid w:val="0009229A"/>
    <w:rsid w:val="00190684"/>
    <w:rsid w:val="001E0035"/>
    <w:rsid w:val="00234D47"/>
    <w:rsid w:val="003C744A"/>
    <w:rsid w:val="007A54FB"/>
    <w:rsid w:val="009437B6"/>
    <w:rsid w:val="00B323D5"/>
    <w:rsid w:val="00B9660A"/>
    <w:rsid w:val="00C3580A"/>
    <w:rsid w:val="00F908BB"/>
    <w:rsid w:val="00FB5C65"/>
    <w:rsid w:val="00F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413003"/>
  <w15:chartTrackingRefBased/>
  <w15:docId w15:val="{0F718617-821A-499C-835B-F923C2CD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60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9660A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922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22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229A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22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229A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2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29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922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9229A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7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9392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3570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2009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673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70547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0720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161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6487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210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880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@un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655</Words>
  <Characters>3424</Characters>
  <Application>Microsoft Office Word</Application>
  <DocSecurity>0</DocSecurity>
  <Lines>77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Crocker</dc:creator>
  <cp:keywords/>
  <dc:description/>
  <cp:lastModifiedBy>Cat Martins</cp:lastModifiedBy>
  <cp:revision>3</cp:revision>
  <dcterms:created xsi:type="dcterms:W3CDTF">2024-11-26T21:37:00Z</dcterms:created>
  <dcterms:modified xsi:type="dcterms:W3CDTF">2024-11-26T21:48:00Z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9abe14f6dc578ffbdc446849434e5d4a0b04151ba27286fe55954fec45e43606</vt:lpwstr>
  </property>
</Properties>
</file>